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CB" w:rsidRPr="00B509FD" w:rsidRDefault="001E1CCB" w:rsidP="001E1CCB">
      <w:pPr>
        <w:rPr>
          <w:sz w:val="18"/>
          <w:szCs w:val="18"/>
        </w:rPr>
      </w:pPr>
    </w:p>
    <w:tbl>
      <w:tblPr>
        <w:tblW w:w="5000" w:type="pct"/>
        <w:tblCellSpacing w:w="15" w:type="dxa"/>
        <w:tblInd w:w="-224"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000" w:firstRow="0" w:lastRow="0" w:firstColumn="0" w:lastColumn="0" w:noHBand="0" w:noVBand="0"/>
      </w:tblPr>
      <w:tblGrid>
        <w:gridCol w:w="3967"/>
        <w:gridCol w:w="1320"/>
        <w:gridCol w:w="893"/>
        <w:gridCol w:w="1245"/>
        <w:gridCol w:w="770"/>
        <w:gridCol w:w="951"/>
      </w:tblGrid>
      <w:tr w:rsidR="001E1CCB" w:rsidRPr="00F039A4" w:rsidTr="000B6393">
        <w:trPr>
          <w:trHeight w:val="525"/>
          <w:tblCellSpacing w:w="15" w:type="dxa"/>
        </w:trPr>
        <w:tc>
          <w:tcPr>
            <w:tcW w:w="4971" w:type="pct"/>
            <w:gridSpan w:val="6"/>
            <w:shd w:val="clear" w:color="auto" w:fill="ECEBEB"/>
            <w:vAlign w:val="center"/>
          </w:tcPr>
          <w:p w:rsidR="001E1CCB" w:rsidRPr="00F039A4" w:rsidRDefault="001E1CCB" w:rsidP="000B6393">
            <w:pPr>
              <w:jc w:val="center"/>
              <w:rPr>
                <w:rFonts w:ascii="Times New Roman" w:hAnsi="Times New Roman"/>
                <w:b/>
                <w:bCs/>
                <w:sz w:val="24"/>
                <w:szCs w:val="24"/>
              </w:rPr>
            </w:pPr>
            <w:r w:rsidRPr="00F039A4">
              <w:rPr>
                <w:rFonts w:ascii="Times New Roman" w:hAnsi="Times New Roman"/>
                <w:b/>
                <w:bCs/>
                <w:sz w:val="24"/>
                <w:szCs w:val="24"/>
              </w:rPr>
              <w:t xml:space="preserve">DERS BİLGİLERİ </w:t>
            </w:r>
          </w:p>
        </w:tc>
      </w:tr>
      <w:tr w:rsidR="001E1CCB" w:rsidRPr="00F039A4" w:rsidTr="000B6393">
        <w:trPr>
          <w:trHeight w:val="450"/>
          <w:tblCellSpacing w:w="15" w:type="dxa"/>
        </w:trPr>
        <w:tc>
          <w:tcPr>
            <w:tcW w:w="2180"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i/>
                <w:iCs/>
                <w:sz w:val="24"/>
                <w:szCs w:val="24"/>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i/>
                <w:iCs/>
                <w:sz w:val="24"/>
                <w:szCs w:val="24"/>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i/>
                <w:iCs/>
                <w:sz w:val="24"/>
                <w:szCs w:val="24"/>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i/>
                <w:iCs/>
                <w:sz w:val="24"/>
                <w:szCs w:val="24"/>
              </w:rPr>
              <w:t>Kredi</w:t>
            </w:r>
          </w:p>
        </w:tc>
        <w:tc>
          <w:tcPr>
            <w:tcW w:w="50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i/>
                <w:iCs/>
                <w:sz w:val="24"/>
                <w:szCs w:val="24"/>
              </w:rPr>
              <w:t>AKTS</w:t>
            </w:r>
          </w:p>
        </w:tc>
      </w:tr>
      <w:tr w:rsidR="001E1CCB" w:rsidRPr="00F039A4" w:rsidTr="000B6393">
        <w:trPr>
          <w:trHeight w:val="375"/>
          <w:tblCellSpacing w:w="15" w:type="dxa"/>
        </w:trPr>
        <w:tc>
          <w:tcPr>
            <w:tcW w:w="2180"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bookmarkStart w:id="0" w:name="_GoBack"/>
            <w:r w:rsidRPr="00F039A4">
              <w:rPr>
                <w:rStyle w:val="normalchar1"/>
                <w:rFonts w:ascii="Times New Roman" w:hAnsi="Times New Roman"/>
                <w:sz w:val="24"/>
                <w:szCs w:val="24"/>
              </w:rPr>
              <w:t>Proses Güvenliği ve Tehlike Önleme</w:t>
            </w:r>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Style w:val="normalchar1"/>
                <w:rFonts w:ascii="Times New Roman" w:hAnsi="Times New Roman"/>
                <w:sz w:val="24"/>
                <w:szCs w:val="24"/>
              </w:rPr>
              <w:t>KMM 307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3</w:t>
            </w:r>
          </w:p>
        </w:tc>
        <w:tc>
          <w:tcPr>
            <w:tcW w:w="50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3</w:t>
            </w:r>
          </w:p>
        </w:tc>
      </w:tr>
    </w:tbl>
    <w:p w:rsidR="001E1CCB" w:rsidRPr="00F039A4" w:rsidRDefault="001E1CCB" w:rsidP="001E1CCB">
      <w:pPr>
        <w:rPr>
          <w:rFonts w:ascii="Times New Roman" w:hAnsi="Times New Roman"/>
          <w:sz w:val="24"/>
          <w:szCs w:val="24"/>
        </w:rPr>
      </w:pPr>
    </w:p>
    <w:p w:rsidR="001E1CCB" w:rsidRPr="00F039A4" w:rsidRDefault="001E1CCB" w:rsidP="001E1CCB">
      <w:pPr>
        <w:rPr>
          <w:rFonts w:ascii="Times New Roman" w:hAnsi="Times New Roman"/>
          <w:sz w:val="24"/>
          <w:szCs w:val="24"/>
        </w:rPr>
      </w:pPr>
    </w:p>
    <w:p w:rsidR="001E1CCB" w:rsidRPr="00F039A4" w:rsidRDefault="001E1CCB" w:rsidP="001E1CCB">
      <w:pPr>
        <w:rPr>
          <w:rFonts w:ascii="Times New Roman" w:hAnsi="Times New Roman"/>
          <w:sz w:val="24"/>
          <w:szCs w:val="24"/>
        </w:rPr>
      </w:pPr>
    </w:p>
    <w:tbl>
      <w:tblPr>
        <w:tblW w:w="5000" w:type="pct"/>
        <w:jc w:val="center"/>
        <w:tblCellSpacing w:w="15" w:type="dxa"/>
        <w:tblInd w:w="-1066"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000" w:firstRow="0" w:lastRow="0" w:firstColumn="0" w:lastColumn="0" w:noHBand="0" w:noVBand="0"/>
      </w:tblPr>
      <w:tblGrid>
        <w:gridCol w:w="3077"/>
        <w:gridCol w:w="6129"/>
      </w:tblGrid>
      <w:tr w:rsidR="001E1CCB" w:rsidRPr="00F039A4" w:rsidTr="000B6393">
        <w:trPr>
          <w:trHeight w:val="450"/>
          <w:tblCellSpacing w:w="15" w:type="dxa"/>
          <w:jc w:val="center"/>
        </w:trPr>
        <w:tc>
          <w:tcPr>
            <w:tcW w:w="1649"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Ön Koşul Dersleri</w:t>
            </w:r>
          </w:p>
        </w:tc>
        <w:tc>
          <w:tcPr>
            <w:tcW w:w="3308"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p>
        </w:tc>
      </w:tr>
    </w:tbl>
    <w:p w:rsidR="001E1CCB" w:rsidRPr="00B509FD" w:rsidRDefault="001E1CCB" w:rsidP="001E1CCB">
      <w:pPr>
        <w:rPr>
          <w:rFonts w:ascii="Times New Roman" w:hAnsi="Times New Roman"/>
          <w:sz w:val="18"/>
          <w:szCs w:val="18"/>
        </w:rPr>
      </w:pPr>
    </w:p>
    <w:p w:rsidR="001E1CCB" w:rsidRPr="00B509FD" w:rsidRDefault="001E1CCB" w:rsidP="001E1CCB">
      <w:pPr>
        <w:rPr>
          <w:rFonts w:ascii="Times New Roman" w:hAnsi="Times New Roman"/>
          <w:sz w:val="18"/>
          <w:szCs w:val="18"/>
        </w:rPr>
      </w:pPr>
    </w:p>
    <w:tbl>
      <w:tblPr>
        <w:tblW w:w="5036" w:type="pct"/>
        <w:jc w:val="center"/>
        <w:tblCellSpacing w:w="15" w:type="dxa"/>
        <w:tblInd w:w="-13906"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000" w:firstRow="0" w:lastRow="0" w:firstColumn="0" w:lastColumn="0" w:noHBand="0" w:noVBand="0"/>
      </w:tblPr>
      <w:tblGrid>
        <w:gridCol w:w="1577"/>
        <w:gridCol w:w="8257"/>
      </w:tblGrid>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Dili</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 xml:space="preserve">Türkçe </w:t>
            </w:r>
          </w:p>
        </w:tc>
      </w:tr>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Türü</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Zorunlu</w:t>
            </w:r>
          </w:p>
        </w:tc>
      </w:tr>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Koordinatörü</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Yrd. Doç. Dr. Mustafa ÖZDEMİR</w:t>
            </w:r>
          </w:p>
        </w:tc>
      </w:tr>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 Verenler</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sz w:val="24"/>
                <w:szCs w:val="24"/>
              </w:rPr>
              <w:t>Yrd. Doç. Dr. Mustafa ÖZDEMİR</w:t>
            </w:r>
          </w:p>
        </w:tc>
      </w:tr>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Yardımcıları</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p>
        </w:tc>
      </w:tr>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Amacı</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jc w:val="both"/>
              <w:rPr>
                <w:rFonts w:ascii="Times New Roman" w:hAnsi="Times New Roman"/>
                <w:sz w:val="24"/>
                <w:szCs w:val="24"/>
              </w:rPr>
            </w:pPr>
            <w:r w:rsidRPr="00F039A4">
              <w:rPr>
                <w:rFonts w:ascii="Times New Roman" w:hAnsi="Times New Roman"/>
                <w:sz w:val="24"/>
                <w:szCs w:val="24"/>
              </w:rPr>
              <w:t>1)Proses güvenliği ve tehlike önleme konusunda temel teknik ve hukuki bilgilerin öğrenciye kazandırılmasıdır</w:t>
            </w:r>
          </w:p>
        </w:tc>
      </w:tr>
      <w:tr w:rsidR="001E1CCB" w:rsidRPr="00F039A4" w:rsidTr="000B6393">
        <w:trPr>
          <w:trHeight w:val="33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Öğrenme Çıktıları</w:t>
            </w:r>
            <w:r w:rsidRPr="00F039A4">
              <w:rPr>
                <w:rFonts w:ascii="Times New Roman" w:hAnsi="Times New Roman"/>
                <w:sz w:val="24"/>
                <w:szCs w:val="24"/>
              </w:rPr>
              <w:t xml:space="preserve"> </w:t>
            </w:r>
          </w:p>
        </w:tc>
        <w:tc>
          <w:tcPr>
            <w:tcW w:w="3803" w:type="pct"/>
            <w:tcBorders>
              <w:bottom w:val="single" w:sz="6" w:space="0" w:color="CCCCCC"/>
            </w:tcBorders>
            <w:shd w:val="clear" w:color="auto" w:fill="FFFFFF"/>
            <w:tcMar>
              <w:top w:w="15" w:type="dxa"/>
              <w:left w:w="75" w:type="dxa"/>
              <w:bottom w:w="15" w:type="dxa"/>
              <w:right w:w="15" w:type="dxa"/>
            </w:tcMar>
            <w:vAlign w:val="center"/>
          </w:tcPr>
          <w:tbl>
            <w:tblPr>
              <w:tblW w:w="8106" w:type="dxa"/>
              <w:tblCellSpacing w:w="15" w:type="dxa"/>
              <w:tblInd w:w="1" w:type="dxa"/>
              <w:tblCellMar>
                <w:top w:w="15" w:type="dxa"/>
                <w:left w:w="15" w:type="dxa"/>
                <w:bottom w:w="15" w:type="dxa"/>
                <w:right w:w="15" w:type="dxa"/>
              </w:tblCellMar>
              <w:tblLook w:val="0000" w:firstRow="0" w:lastRow="0" w:firstColumn="0" w:lastColumn="0" w:noHBand="0" w:noVBand="0"/>
            </w:tblPr>
            <w:tblGrid>
              <w:gridCol w:w="8106"/>
            </w:tblGrid>
            <w:tr w:rsidR="001E1CCB" w:rsidRPr="00F039A4" w:rsidTr="000B6393">
              <w:trPr>
                <w:trHeight w:val="52"/>
                <w:tblCellSpacing w:w="15" w:type="dxa"/>
              </w:trPr>
              <w:tc>
                <w:tcPr>
                  <w:tcW w:w="496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rPr>
                      <w:rFonts w:ascii="Times New Roman" w:hAnsi="Times New Roman"/>
                      <w:sz w:val="24"/>
                      <w:szCs w:val="24"/>
                    </w:rPr>
                  </w:pPr>
                  <w:r w:rsidRPr="00F039A4">
                    <w:rPr>
                      <w:rFonts w:ascii="Times New Roman" w:hAnsi="Times New Roman"/>
                      <w:sz w:val="24"/>
                      <w:szCs w:val="24"/>
                    </w:rPr>
                    <w:t>1)Proses kontrol kavramlarının öğretilmesi yoluyla sistem dinamiği ve kontrol yöntemleri hakkında öğrenciye temel bilgiler ver</w:t>
                  </w:r>
                  <w:r>
                    <w:rPr>
                      <w:rFonts w:ascii="Times New Roman" w:hAnsi="Times New Roman"/>
                      <w:sz w:val="24"/>
                      <w:szCs w:val="24"/>
                    </w:rPr>
                    <w:t>mek</w:t>
                  </w:r>
                </w:p>
              </w:tc>
            </w:tr>
            <w:tr w:rsidR="001E1CCB" w:rsidRPr="00F039A4" w:rsidTr="000B6393">
              <w:trPr>
                <w:trHeight w:val="391"/>
                <w:tblCellSpacing w:w="15" w:type="dxa"/>
              </w:trPr>
              <w:tc>
                <w:tcPr>
                  <w:tcW w:w="496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70" w:lineRule="atLeast"/>
                    <w:rPr>
                      <w:rFonts w:ascii="Times New Roman" w:hAnsi="Times New Roman"/>
                      <w:sz w:val="24"/>
                      <w:szCs w:val="24"/>
                    </w:rPr>
                  </w:pPr>
                  <w:r w:rsidRPr="00F039A4">
                    <w:rPr>
                      <w:rFonts w:ascii="Times New Roman" w:hAnsi="Times New Roman"/>
                      <w:sz w:val="24"/>
                      <w:szCs w:val="24"/>
                    </w:rPr>
                    <w:t>2</w:t>
                  </w:r>
                  <w:r w:rsidRPr="00F039A4">
                    <w:rPr>
                      <w:rFonts w:ascii="Times New Roman" w:hAnsi="Times New Roman"/>
                      <w:b/>
                      <w:sz w:val="24"/>
                      <w:szCs w:val="24"/>
                    </w:rPr>
                    <w:t xml:space="preserve">) </w:t>
                  </w:r>
                  <w:r w:rsidRPr="00F039A4">
                    <w:rPr>
                      <w:rFonts w:ascii="Times New Roman" w:hAnsi="Times New Roman"/>
                      <w:sz w:val="24"/>
                      <w:szCs w:val="24"/>
                    </w:rPr>
                    <w:t xml:space="preserve">Proses tanımı ve </w:t>
                  </w:r>
                  <w:proofErr w:type="gramStart"/>
                  <w:r w:rsidRPr="00F039A4">
                    <w:rPr>
                      <w:rFonts w:ascii="Times New Roman" w:hAnsi="Times New Roman"/>
                      <w:sz w:val="24"/>
                      <w:szCs w:val="24"/>
                    </w:rPr>
                    <w:t>proseslerin</w:t>
                  </w:r>
                  <w:proofErr w:type="gramEnd"/>
                  <w:r w:rsidRPr="00F039A4">
                    <w:rPr>
                      <w:rFonts w:ascii="Times New Roman" w:hAnsi="Times New Roman"/>
                      <w:sz w:val="24"/>
                      <w:szCs w:val="24"/>
                    </w:rPr>
                    <w:t xml:space="preserve"> dinamik analizleri yapılarak konunun</w:t>
                  </w:r>
                  <w:r w:rsidRPr="00F039A4">
                    <w:rPr>
                      <w:rFonts w:ascii="Times New Roman" w:hAnsi="Times New Roman"/>
                      <w:b/>
                      <w:sz w:val="24"/>
                      <w:szCs w:val="24"/>
                    </w:rPr>
                    <w:t xml:space="preserve"> </w:t>
                  </w:r>
                  <w:r w:rsidRPr="00F039A4">
                    <w:rPr>
                      <w:rFonts w:ascii="Times New Roman" w:hAnsi="Times New Roman"/>
                      <w:sz w:val="24"/>
                      <w:szCs w:val="24"/>
                    </w:rPr>
                    <w:t>örneklerle öğrencilere kavratılması sağla</w:t>
                  </w:r>
                  <w:r>
                    <w:rPr>
                      <w:rFonts w:ascii="Times New Roman" w:hAnsi="Times New Roman"/>
                      <w:sz w:val="24"/>
                      <w:szCs w:val="24"/>
                    </w:rPr>
                    <w:t>mak</w:t>
                  </w:r>
                </w:p>
              </w:tc>
            </w:tr>
            <w:tr w:rsidR="001E1CCB" w:rsidRPr="00F039A4" w:rsidTr="000B6393">
              <w:trPr>
                <w:trHeight w:val="391"/>
                <w:tblCellSpacing w:w="15" w:type="dxa"/>
              </w:trPr>
              <w:tc>
                <w:tcPr>
                  <w:tcW w:w="496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70" w:lineRule="atLeast"/>
                    <w:rPr>
                      <w:rFonts w:ascii="Times New Roman" w:hAnsi="Times New Roman"/>
                      <w:sz w:val="24"/>
                      <w:szCs w:val="24"/>
                    </w:rPr>
                  </w:pPr>
                  <w:r w:rsidRPr="00F039A4">
                    <w:rPr>
                      <w:rFonts w:ascii="Times New Roman" w:hAnsi="Times New Roman"/>
                      <w:sz w:val="24"/>
                      <w:szCs w:val="24"/>
                    </w:rPr>
                    <w:t>3) Deri ve teneffüs yoluyla zehirlenme, zehirleyici dozları, zehirleyici salımı ve yayılımı konusunda detaylı bilgi ver</w:t>
                  </w:r>
                  <w:r>
                    <w:rPr>
                      <w:rFonts w:ascii="Times New Roman" w:hAnsi="Times New Roman"/>
                      <w:sz w:val="24"/>
                      <w:szCs w:val="24"/>
                    </w:rPr>
                    <w:t>mek</w:t>
                  </w:r>
                  <w:r w:rsidRPr="00F039A4">
                    <w:rPr>
                      <w:rFonts w:ascii="Times New Roman" w:hAnsi="Times New Roman"/>
                      <w:sz w:val="24"/>
                      <w:szCs w:val="24"/>
                    </w:rPr>
                    <w:t xml:space="preserve"> </w:t>
                  </w:r>
                </w:p>
              </w:tc>
            </w:tr>
            <w:tr w:rsidR="001E1CCB" w:rsidRPr="00F039A4" w:rsidTr="000B6393">
              <w:trPr>
                <w:trHeight w:val="391"/>
                <w:tblCellSpacing w:w="15" w:type="dxa"/>
              </w:trPr>
              <w:tc>
                <w:tcPr>
                  <w:tcW w:w="496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70" w:lineRule="atLeast"/>
                    <w:rPr>
                      <w:rFonts w:ascii="Times New Roman" w:hAnsi="Times New Roman"/>
                      <w:sz w:val="24"/>
                      <w:szCs w:val="24"/>
                    </w:rPr>
                  </w:pPr>
                  <w:r w:rsidRPr="00F039A4">
                    <w:rPr>
                      <w:rFonts w:ascii="Times New Roman" w:hAnsi="Times New Roman"/>
                      <w:sz w:val="24"/>
                      <w:szCs w:val="24"/>
                    </w:rPr>
                    <w:t>4)Patlamalar ve yangınların çıkış nedenleri konusunda detaylı bilgi verilerek patlama ve yangın önleme konusunda bilgi ve beceri kazandır</w:t>
                  </w:r>
                  <w:r>
                    <w:rPr>
                      <w:rFonts w:ascii="Times New Roman" w:hAnsi="Times New Roman"/>
                      <w:sz w:val="24"/>
                      <w:szCs w:val="24"/>
                    </w:rPr>
                    <w:t>mak</w:t>
                  </w:r>
                </w:p>
              </w:tc>
            </w:tr>
          </w:tbl>
          <w:p w:rsidR="001E1CCB" w:rsidRPr="00F039A4" w:rsidRDefault="001E1CCB" w:rsidP="000B6393">
            <w:pPr>
              <w:spacing w:line="240" w:lineRule="atLeast"/>
              <w:rPr>
                <w:rFonts w:ascii="Times New Roman" w:hAnsi="Times New Roman"/>
                <w:sz w:val="24"/>
                <w:szCs w:val="24"/>
              </w:rPr>
            </w:pPr>
          </w:p>
        </w:tc>
      </w:tr>
      <w:tr w:rsidR="001E1CCB" w:rsidRPr="00F039A4" w:rsidTr="000B6393">
        <w:trPr>
          <w:trHeight w:val="470"/>
          <w:tblCellSpacing w:w="15" w:type="dxa"/>
          <w:jc w:val="center"/>
        </w:trPr>
        <w:tc>
          <w:tcPr>
            <w:tcW w:w="1154"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line="240" w:lineRule="atLeast"/>
              <w:rPr>
                <w:rFonts w:ascii="Times New Roman" w:hAnsi="Times New Roman"/>
                <w:sz w:val="24"/>
                <w:szCs w:val="24"/>
              </w:rPr>
            </w:pPr>
            <w:r w:rsidRPr="00F039A4">
              <w:rPr>
                <w:rFonts w:ascii="Times New Roman" w:hAnsi="Times New Roman"/>
                <w:b/>
                <w:bCs/>
                <w:sz w:val="24"/>
                <w:szCs w:val="24"/>
              </w:rPr>
              <w:t>Dersin İçeriği</w:t>
            </w:r>
          </w:p>
        </w:tc>
        <w:tc>
          <w:tcPr>
            <w:tcW w:w="3803" w:type="pct"/>
            <w:tcBorders>
              <w:bottom w:val="single" w:sz="6" w:space="0" w:color="CCCCCC"/>
            </w:tcBorders>
            <w:shd w:val="clear" w:color="auto" w:fill="FFFFFF"/>
            <w:tcMar>
              <w:top w:w="15" w:type="dxa"/>
              <w:left w:w="75" w:type="dxa"/>
              <w:bottom w:w="15" w:type="dxa"/>
              <w:right w:w="15" w:type="dxa"/>
            </w:tcMar>
            <w:vAlign w:val="center"/>
          </w:tcPr>
          <w:p w:rsidR="001E1CCB" w:rsidRPr="00F039A4" w:rsidRDefault="001E1CCB" w:rsidP="000B6393">
            <w:pPr>
              <w:spacing w:after="0" w:line="240" w:lineRule="auto"/>
              <w:ind w:left="360"/>
              <w:jc w:val="both"/>
              <w:rPr>
                <w:rFonts w:ascii="Times New Roman" w:eastAsia="Times New Roman" w:hAnsi="Times New Roman"/>
                <w:sz w:val="24"/>
                <w:szCs w:val="24"/>
                <w:lang w:eastAsia="tr-TR"/>
              </w:rPr>
            </w:pPr>
            <w:r w:rsidRPr="00F039A4">
              <w:rPr>
                <w:rFonts w:ascii="Times New Roman" w:eastAsia="Times New Roman" w:hAnsi="Times New Roman"/>
                <w:sz w:val="24"/>
                <w:szCs w:val="24"/>
                <w:lang w:eastAsia="tr-TR"/>
              </w:rPr>
              <w:t xml:space="preserve">Güvenlik programları. Kazalar ve istatistiki kayıplar. Kabul edilebilir riskler. </w:t>
            </w:r>
            <w:proofErr w:type="gramStart"/>
            <w:r w:rsidRPr="00F039A4">
              <w:rPr>
                <w:rFonts w:ascii="Times New Roman" w:eastAsia="Times New Roman" w:hAnsi="Times New Roman"/>
                <w:sz w:val="24"/>
                <w:szCs w:val="24"/>
                <w:lang w:eastAsia="tr-TR"/>
              </w:rPr>
              <w:lastRenderedPageBreak/>
              <w:t xml:space="preserve">Proses kazalarının tabiatı. </w:t>
            </w:r>
            <w:proofErr w:type="gramEnd"/>
            <w:r w:rsidRPr="00F039A4">
              <w:rPr>
                <w:rFonts w:ascii="Times New Roman" w:eastAsia="Times New Roman" w:hAnsi="Times New Roman"/>
                <w:sz w:val="24"/>
                <w:szCs w:val="24"/>
                <w:lang w:eastAsia="tr-TR"/>
              </w:rPr>
              <w:t xml:space="preserve">4 büyük felaket. Zehirlenme. Biyolojik sistemlerde zehirlenmelerin meydana geliş şekli. Zehirleyici maddelerin biyolojik sistemler üzerine etkisi. Endüstriyel </w:t>
            </w:r>
            <w:proofErr w:type="gramStart"/>
            <w:r w:rsidRPr="00F039A4">
              <w:rPr>
                <w:rFonts w:ascii="Times New Roman" w:eastAsia="Times New Roman" w:hAnsi="Times New Roman"/>
                <w:sz w:val="24"/>
                <w:szCs w:val="24"/>
                <w:lang w:eastAsia="tr-TR"/>
              </w:rPr>
              <w:t>hijyen</w:t>
            </w:r>
            <w:proofErr w:type="gramEnd"/>
            <w:r w:rsidRPr="00F039A4">
              <w:rPr>
                <w:rFonts w:ascii="Times New Roman" w:eastAsia="Times New Roman" w:hAnsi="Times New Roman"/>
                <w:sz w:val="24"/>
                <w:szCs w:val="24"/>
                <w:lang w:eastAsia="tr-TR"/>
              </w:rPr>
              <w:t xml:space="preserve">. Endüstriyel </w:t>
            </w:r>
            <w:proofErr w:type="gramStart"/>
            <w:r w:rsidRPr="00F039A4">
              <w:rPr>
                <w:rFonts w:ascii="Times New Roman" w:eastAsia="Times New Roman" w:hAnsi="Times New Roman"/>
                <w:sz w:val="24"/>
                <w:szCs w:val="24"/>
                <w:lang w:eastAsia="tr-TR"/>
              </w:rPr>
              <w:t>hijyenin</w:t>
            </w:r>
            <w:proofErr w:type="gramEnd"/>
            <w:r w:rsidRPr="00F039A4">
              <w:rPr>
                <w:rFonts w:ascii="Times New Roman" w:eastAsia="Times New Roman" w:hAnsi="Times New Roman"/>
                <w:sz w:val="24"/>
                <w:szCs w:val="24"/>
                <w:lang w:eastAsia="tr-TR"/>
              </w:rPr>
              <w:t xml:space="preserve"> tanımı. Kanunlar ve düzenlemeler. Zehirleyicilerin salım ve yayılım modelleri. Zehirleyicilerin yayılımını etkileyen faktörler. Parlama sıcaklığı. Parlama karakteristiği gösteren sıvılar. Gazlar ve buharlar. Patlamalar ve yangınlar. Patlama ve yangınları önleme konusunda yapılabilecek düzenlemeler. </w:t>
            </w:r>
            <w:r>
              <w:rPr>
                <w:sz w:val="24"/>
                <w:szCs w:val="24"/>
              </w:rPr>
              <w:t xml:space="preserve">Yanıcı ve yakıcı maddelerin sınır </w:t>
            </w:r>
            <w:proofErr w:type="gramStart"/>
            <w:r>
              <w:rPr>
                <w:sz w:val="24"/>
                <w:szCs w:val="24"/>
              </w:rPr>
              <w:t>konsantrasyonları</w:t>
            </w:r>
            <w:proofErr w:type="gramEnd"/>
            <w:r>
              <w:rPr>
                <w:sz w:val="24"/>
                <w:szCs w:val="24"/>
              </w:rPr>
              <w:t>, Tutuşturucu kaynakları.</w:t>
            </w:r>
            <w:r w:rsidRPr="00F039A4">
              <w:rPr>
                <w:rFonts w:ascii="Times New Roman" w:eastAsia="Times New Roman" w:hAnsi="Times New Roman"/>
                <w:sz w:val="24"/>
                <w:szCs w:val="24"/>
                <w:lang w:eastAsia="tr-TR"/>
              </w:rPr>
              <w:t xml:space="preserve"> Prosesler arası etkileşimler. </w:t>
            </w:r>
            <w:proofErr w:type="gramStart"/>
            <w:r w:rsidRPr="00F039A4">
              <w:rPr>
                <w:rFonts w:ascii="Times New Roman" w:eastAsia="Times New Roman" w:hAnsi="Times New Roman"/>
                <w:sz w:val="24"/>
                <w:szCs w:val="24"/>
                <w:lang w:eastAsia="tr-TR"/>
              </w:rPr>
              <w:t xml:space="preserve">Risk analizi Kantitatif risk analizi. </w:t>
            </w:r>
            <w:proofErr w:type="gramEnd"/>
            <w:r w:rsidRPr="00F039A4">
              <w:rPr>
                <w:rFonts w:ascii="Times New Roman" w:eastAsia="Times New Roman" w:hAnsi="Times New Roman"/>
                <w:sz w:val="24"/>
                <w:szCs w:val="24"/>
                <w:lang w:eastAsia="tr-TR"/>
              </w:rPr>
              <w:t xml:space="preserve">Sıklık. </w:t>
            </w:r>
            <w:proofErr w:type="gramStart"/>
            <w:r w:rsidRPr="00F039A4">
              <w:rPr>
                <w:rFonts w:ascii="Times New Roman" w:eastAsia="Times New Roman" w:hAnsi="Times New Roman"/>
                <w:sz w:val="24"/>
                <w:szCs w:val="24"/>
                <w:lang w:eastAsia="tr-TR"/>
              </w:rPr>
              <w:t xml:space="preserve">Olay ve hata soyağaçları. </w:t>
            </w:r>
            <w:proofErr w:type="gramEnd"/>
          </w:p>
        </w:tc>
      </w:tr>
    </w:tbl>
    <w:p w:rsidR="001E1CCB" w:rsidRPr="00F039A4" w:rsidRDefault="001E1CCB" w:rsidP="001E1CCB">
      <w:pPr>
        <w:rPr>
          <w:sz w:val="24"/>
          <w:szCs w:val="24"/>
        </w:rPr>
      </w:pPr>
    </w:p>
    <w:tbl>
      <w:tblPr>
        <w:tblW w:w="5144" w:type="pct"/>
        <w:jc w:val="center"/>
        <w:tblCellSpacing w:w="15" w:type="dxa"/>
        <w:tblInd w:w="-621"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868"/>
        <w:gridCol w:w="5181"/>
        <w:gridCol w:w="3391"/>
      </w:tblGrid>
      <w:tr w:rsidR="001E1CCB" w:rsidRPr="00F039A4" w:rsidTr="000B6393">
        <w:trPr>
          <w:trHeight w:val="450"/>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b/>
                <w:bCs/>
                <w:sz w:val="24"/>
                <w:szCs w:val="24"/>
              </w:rPr>
              <w:t>Hafta</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b/>
                <w:bCs/>
                <w:sz w:val="24"/>
                <w:szCs w:val="24"/>
              </w:rPr>
              <w:t>Konular</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b/>
                <w:bCs/>
                <w:sz w:val="24"/>
                <w:szCs w:val="24"/>
              </w:rPr>
              <w:t>Ön Hazırlık</w:t>
            </w:r>
          </w:p>
        </w:tc>
      </w:tr>
      <w:tr w:rsidR="001E1CCB" w:rsidRPr="00F039A4" w:rsidTr="000B6393">
        <w:trPr>
          <w:trHeight w:val="799"/>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1</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sz w:val="24"/>
                <w:szCs w:val="24"/>
              </w:rPr>
            </w:pPr>
            <w:r w:rsidRPr="00F039A4">
              <w:rPr>
                <w:rFonts w:ascii="Times New Roman" w:eastAsia="Times New Roman" w:hAnsi="Times New Roman"/>
                <w:sz w:val="24"/>
                <w:szCs w:val="24"/>
                <w:lang w:eastAsia="tr-TR"/>
              </w:rPr>
              <w:t xml:space="preserve">Güvenlik </w:t>
            </w:r>
            <w:r>
              <w:rPr>
                <w:rFonts w:ascii="Times New Roman" w:eastAsia="Times New Roman" w:hAnsi="Times New Roman"/>
                <w:sz w:val="24"/>
                <w:szCs w:val="24"/>
                <w:lang w:eastAsia="tr-TR"/>
              </w:rPr>
              <w:t>p</w:t>
            </w:r>
            <w:r w:rsidRPr="00F039A4">
              <w:rPr>
                <w:rFonts w:ascii="Times New Roman" w:eastAsia="Times New Roman" w:hAnsi="Times New Roman"/>
                <w:sz w:val="24"/>
                <w:szCs w:val="24"/>
                <w:lang w:eastAsia="tr-TR"/>
              </w:rPr>
              <w:t>rogramları</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1011"/>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2</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rFonts w:ascii="Verdana" w:hAnsi="Verdana"/>
                <w:sz w:val="24"/>
                <w:szCs w:val="24"/>
              </w:rPr>
            </w:pPr>
            <w:r w:rsidRPr="00F039A4">
              <w:rPr>
                <w:rFonts w:ascii="Times New Roman" w:eastAsia="Times New Roman" w:hAnsi="Times New Roman"/>
                <w:sz w:val="24"/>
                <w:szCs w:val="24"/>
                <w:lang w:eastAsia="tr-TR"/>
              </w:rPr>
              <w:t xml:space="preserve">Kazalar ve </w:t>
            </w:r>
            <w:r>
              <w:rPr>
                <w:rFonts w:ascii="Times New Roman" w:eastAsia="Times New Roman" w:hAnsi="Times New Roman"/>
                <w:sz w:val="24"/>
                <w:szCs w:val="24"/>
                <w:lang w:eastAsia="tr-TR"/>
              </w:rPr>
              <w:t>i</w:t>
            </w:r>
            <w:r w:rsidRPr="00F039A4">
              <w:rPr>
                <w:rFonts w:ascii="Times New Roman" w:eastAsia="Times New Roman" w:hAnsi="Times New Roman"/>
                <w:sz w:val="24"/>
                <w:szCs w:val="24"/>
                <w:lang w:eastAsia="tr-TR"/>
              </w:rPr>
              <w:t xml:space="preserve">statistiki </w:t>
            </w:r>
            <w:r>
              <w:rPr>
                <w:rFonts w:ascii="Times New Roman" w:eastAsia="Times New Roman" w:hAnsi="Times New Roman"/>
                <w:sz w:val="24"/>
                <w:szCs w:val="24"/>
                <w:lang w:eastAsia="tr-TR"/>
              </w:rPr>
              <w:t>k</w:t>
            </w:r>
            <w:r w:rsidRPr="00F039A4">
              <w:rPr>
                <w:rFonts w:ascii="Times New Roman" w:eastAsia="Times New Roman" w:hAnsi="Times New Roman"/>
                <w:sz w:val="24"/>
                <w:szCs w:val="24"/>
                <w:lang w:eastAsia="tr-TR"/>
              </w:rPr>
              <w:t>ayıplar</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3</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Times New Roman" w:eastAsia="Times New Roman" w:hAnsi="Times New Roman"/>
                <w:sz w:val="24"/>
                <w:szCs w:val="24"/>
                <w:lang w:eastAsia="tr-TR"/>
              </w:rPr>
              <w:t xml:space="preserve">Kabul </w:t>
            </w:r>
            <w:r>
              <w:rPr>
                <w:rFonts w:ascii="Times New Roman" w:eastAsia="Times New Roman" w:hAnsi="Times New Roman"/>
                <w:sz w:val="24"/>
                <w:szCs w:val="24"/>
                <w:lang w:eastAsia="tr-TR"/>
              </w:rPr>
              <w:t>e</w:t>
            </w:r>
            <w:r w:rsidRPr="00F039A4">
              <w:rPr>
                <w:rFonts w:ascii="Times New Roman" w:eastAsia="Times New Roman" w:hAnsi="Times New Roman"/>
                <w:sz w:val="24"/>
                <w:szCs w:val="24"/>
                <w:lang w:eastAsia="tr-TR"/>
              </w:rPr>
              <w:t xml:space="preserve">dilebilir </w:t>
            </w:r>
            <w:r>
              <w:rPr>
                <w:rFonts w:ascii="Times New Roman" w:eastAsia="Times New Roman" w:hAnsi="Times New Roman"/>
                <w:sz w:val="24"/>
                <w:szCs w:val="24"/>
                <w:lang w:eastAsia="tr-TR"/>
              </w:rPr>
              <w:t>r</w:t>
            </w:r>
            <w:r w:rsidRPr="00F039A4">
              <w:rPr>
                <w:rFonts w:ascii="Times New Roman" w:eastAsia="Times New Roman" w:hAnsi="Times New Roman"/>
                <w:sz w:val="24"/>
                <w:szCs w:val="24"/>
                <w:lang w:eastAsia="tr-TR"/>
              </w:rPr>
              <w:t xml:space="preserve">iskler. Proses </w:t>
            </w:r>
            <w:r>
              <w:rPr>
                <w:rFonts w:ascii="Times New Roman" w:eastAsia="Times New Roman" w:hAnsi="Times New Roman"/>
                <w:sz w:val="24"/>
                <w:szCs w:val="24"/>
                <w:lang w:eastAsia="tr-TR"/>
              </w:rPr>
              <w:t>k</w:t>
            </w:r>
            <w:r w:rsidRPr="00F039A4">
              <w:rPr>
                <w:rFonts w:ascii="Times New Roman" w:eastAsia="Times New Roman" w:hAnsi="Times New Roman"/>
                <w:sz w:val="24"/>
                <w:szCs w:val="24"/>
                <w:lang w:eastAsia="tr-TR"/>
              </w:rPr>
              <w:t xml:space="preserve">azalarının </w:t>
            </w:r>
            <w:r>
              <w:rPr>
                <w:rFonts w:ascii="Times New Roman" w:eastAsia="Times New Roman" w:hAnsi="Times New Roman"/>
                <w:sz w:val="24"/>
                <w:szCs w:val="24"/>
                <w:lang w:eastAsia="tr-TR"/>
              </w:rPr>
              <w:t>t</w:t>
            </w:r>
            <w:r w:rsidRPr="00F039A4">
              <w:rPr>
                <w:rFonts w:ascii="Times New Roman" w:eastAsia="Times New Roman" w:hAnsi="Times New Roman"/>
                <w:sz w:val="24"/>
                <w:szCs w:val="24"/>
                <w:lang w:eastAsia="tr-TR"/>
              </w:rPr>
              <w:t>abiatı</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4</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rFonts w:ascii="Verdana" w:hAnsi="Verdana"/>
                <w:sz w:val="24"/>
                <w:szCs w:val="24"/>
              </w:rPr>
            </w:pPr>
            <w:r>
              <w:rPr>
                <w:rFonts w:ascii="Times New Roman" w:eastAsia="Times New Roman" w:hAnsi="Times New Roman"/>
                <w:sz w:val="24"/>
                <w:szCs w:val="24"/>
                <w:lang w:eastAsia="tr-TR"/>
              </w:rPr>
              <w:t>B</w:t>
            </w:r>
            <w:r w:rsidRPr="00F039A4">
              <w:rPr>
                <w:rFonts w:ascii="Times New Roman" w:eastAsia="Times New Roman" w:hAnsi="Times New Roman"/>
                <w:sz w:val="24"/>
                <w:szCs w:val="24"/>
                <w:lang w:eastAsia="tr-TR"/>
              </w:rPr>
              <w:t xml:space="preserve">üyük </w:t>
            </w:r>
            <w:r>
              <w:rPr>
                <w:rFonts w:ascii="Times New Roman" w:eastAsia="Times New Roman" w:hAnsi="Times New Roman"/>
                <w:sz w:val="24"/>
                <w:szCs w:val="24"/>
                <w:lang w:eastAsia="tr-TR"/>
              </w:rPr>
              <w:t>f</w:t>
            </w:r>
            <w:r w:rsidRPr="00F039A4">
              <w:rPr>
                <w:rFonts w:ascii="Times New Roman" w:eastAsia="Times New Roman" w:hAnsi="Times New Roman"/>
                <w:sz w:val="24"/>
                <w:szCs w:val="24"/>
                <w:lang w:eastAsia="tr-TR"/>
              </w:rPr>
              <w:t xml:space="preserve">elaket. </w:t>
            </w:r>
            <w:proofErr w:type="gramStart"/>
            <w:r>
              <w:rPr>
                <w:rFonts w:ascii="Times New Roman" w:eastAsia="Times New Roman" w:hAnsi="Times New Roman"/>
                <w:sz w:val="24"/>
                <w:szCs w:val="24"/>
                <w:lang w:eastAsia="tr-TR"/>
              </w:rPr>
              <w:t>z</w:t>
            </w:r>
            <w:r w:rsidRPr="00F039A4">
              <w:rPr>
                <w:rFonts w:ascii="Times New Roman" w:eastAsia="Times New Roman" w:hAnsi="Times New Roman"/>
                <w:sz w:val="24"/>
                <w:szCs w:val="24"/>
                <w:lang w:eastAsia="tr-TR"/>
              </w:rPr>
              <w:t>ehirlenme</w:t>
            </w:r>
            <w:proofErr w:type="gramEnd"/>
            <w:r w:rsidRPr="00F039A4">
              <w:rPr>
                <w:rFonts w:ascii="Times New Roman" w:eastAsia="Times New Roman" w:hAnsi="Times New Roman"/>
                <w:sz w:val="24"/>
                <w:szCs w:val="24"/>
                <w:lang w:eastAsia="tr-TR"/>
              </w:rPr>
              <w:t xml:space="preserve">. Biyolojik </w:t>
            </w:r>
            <w:r>
              <w:rPr>
                <w:rFonts w:ascii="Times New Roman" w:eastAsia="Times New Roman" w:hAnsi="Times New Roman"/>
                <w:sz w:val="24"/>
                <w:szCs w:val="24"/>
                <w:lang w:eastAsia="tr-TR"/>
              </w:rPr>
              <w:t>s</w:t>
            </w:r>
            <w:r w:rsidRPr="00F039A4">
              <w:rPr>
                <w:rFonts w:ascii="Times New Roman" w:eastAsia="Times New Roman" w:hAnsi="Times New Roman"/>
                <w:sz w:val="24"/>
                <w:szCs w:val="24"/>
                <w:lang w:eastAsia="tr-TR"/>
              </w:rPr>
              <w:t xml:space="preserve">istemlerde </w:t>
            </w:r>
            <w:r>
              <w:rPr>
                <w:rFonts w:ascii="Times New Roman" w:eastAsia="Times New Roman" w:hAnsi="Times New Roman"/>
                <w:sz w:val="24"/>
                <w:szCs w:val="24"/>
                <w:lang w:eastAsia="tr-TR"/>
              </w:rPr>
              <w:t>z</w:t>
            </w:r>
            <w:r w:rsidRPr="00F039A4">
              <w:rPr>
                <w:rFonts w:ascii="Times New Roman" w:eastAsia="Times New Roman" w:hAnsi="Times New Roman"/>
                <w:sz w:val="24"/>
                <w:szCs w:val="24"/>
                <w:lang w:eastAsia="tr-TR"/>
              </w:rPr>
              <w:t xml:space="preserve">ehirlenmelerin </w:t>
            </w:r>
            <w:r>
              <w:rPr>
                <w:rFonts w:ascii="Times New Roman" w:eastAsia="Times New Roman" w:hAnsi="Times New Roman"/>
                <w:sz w:val="24"/>
                <w:szCs w:val="24"/>
                <w:lang w:eastAsia="tr-TR"/>
              </w:rPr>
              <w:t>m</w:t>
            </w:r>
            <w:r w:rsidRPr="00F039A4">
              <w:rPr>
                <w:rFonts w:ascii="Times New Roman" w:eastAsia="Times New Roman" w:hAnsi="Times New Roman"/>
                <w:sz w:val="24"/>
                <w:szCs w:val="24"/>
                <w:lang w:eastAsia="tr-TR"/>
              </w:rPr>
              <w:t xml:space="preserve">eydana </w:t>
            </w:r>
            <w:r>
              <w:rPr>
                <w:rFonts w:ascii="Times New Roman" w:eastAsia="Times New Roman" w:hAnsi="Times New Roman"/>
                <w:sz w:val="24"/>
                <w:szCs w:val="24"/>
                <w:lang w:eastAsia="tr-TR"/>
              </w:rPr>
              <w:t>g</w:t>
            </w:r>
            <w:r w:rsidRPr="00F039A4">
              <w:rPr>
                <w:rFonts w:ascii="Times New Roman" w:eastAsia="Times New Roman" w:hAnsi="Times New Roman"/>
                <w:sz w:val="24"/>
                <w:szCs w:val="24"/>
                <w:lang w:eastAsia="tr-TR"/>
              </w:rPr>
              <w:t xml:space="preserve">eliş </w:t>
            </w:r>
            <w:r>
              <w:rPr>
                <w:rFonts w:ascii="Times New Roman" w:eastAsia="Times New Roman" w:hAnsi="Times New Roman"/>
                <w:sz w:val="24"/>
                <w:szCs w:val="24"/>
                <w:lang w:eastAsia="tr-TR"/>
              </w:rPr>
              <w:t>ş</w:t>
            </w:r>
            <w:r w:rsidRPr="00F039A4">
              <w:rPr>
                <w:rFonts w:ascii="Times New Roman" w:eastAsia="Times New Roman" w:hAnsi="Times New Roman"/>
                <w:sz w:val="24"/>
                <w:szCs w:val="24"/>
                <w:lang w:eastAsia="tr-TR"/>
              </w:rPr>
              <w:t>ekli</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lastRenderedPageBreak/>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lastRenderedPageBreak/>
              <w:t>5</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jc w:val="both"/>
              <w:rPr>
                <w:rFonts w:ascii="Verdana" w:hAnsi="Verdana"/>
                <w:sz w:val="24"/>
                <w:szCs w:val="24"/>
              </w:rPr>
            </w:pPr>
            <w:r w:rsidRPr="00F039A4">
              <w:rPr>
                <w:rFonts w:ascii="Times New Roman" w:eastAsia="Times New Roman" w:hAnsi="Times New Roman"/>
                <w:sz w:val="24"/>
                <w:szCs w:val="24"/>
                <w:lang w:eastAsia="tr-TR"/>
              </w:rPr>
              <w:t>Zehirleyici maddelerin biyolojik sistemler üzerine etkisi</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6</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rFonts w:ascii="Verdana" w:hAnsi="Verdana"/>
                <w:sz w:val="24"/>
                <w:szCs w:val="24"/>
              </w:rPr>
            </w:pPr>
            <w:r w:rsidRPr="00F039A4">
              <w:rPr>
                <w:sz w:val="24"/>
                <w:szCs w:val="24"/>
              </w:rPr>
              <w:t>Problemlerin Çözümü</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7</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sz w:val="24"/>
                <w:szCs w:val="24"/>
              </w:rPr>
            </w:pPr>
            <w:r w:rsidRPr="00F039A4">
              <w:rPr>
                <w:rFonts w:ascii="Times New Roman" w:eastAsia="Times New Roman" w:hAnsi="Times New Roman"/>
                <w:sz w:val="24"/>
                <w:szCs w:val="24"/>
                <w:lang w:eastAsia="tr-TR"/>
              </w:rPr>
              <w:t xml:space="preserve">Endüstriyel </w:t>
            </w:r>
            <w:proofErr w:type="gramStart"/>
            <w:r w:rsidRPr="00F039A4">
              <w:rPr>
                <w:rFonts w:ascii="Times New Roman" w:eastAsia="Times New Roman" w:hAnsi="Times New Roman"/>
                <w:sz w:val="24"/>
                <w:szCs w:val="24"/>
                <w:lang w:eastAsia="tr-TR"/>
              </w:rPr>
              <w:t>hijyen</w:t>
            </w:r>
            <w:proofErr w:type="gramEnd"/>
            <w:r w:rsidRPr="00F039A4">
              <w:rPr>
                <w:rFonts w:ascii="Times New Roman" w:eastAsia="Times New Roman" w:hAnsi="Times New Roman"/>
                <w:sz w:val="24"/>
                <w:szCs w:val="24"/>
                <w:lang w:eastAsia="tr-TR"/>
              </w:rPr>
              <w:t xml:space="preserve">. Endüstriyel </w:t>
            </w:r>
            <w:proofErr w:type="gramStart"/>
            <w:r w:rsidRPr="00F039A4">
              <w:rPr>
                <w:rFonts w:ascii="Times New Roman" w:eastAsia="Times New Roman" w:hAnsi="Times New Roman"/>
                <w:sz w:val="24"/>
                <w:szCs w:val="24"/>
                <w:lang w:eastAsia="tr-TR"/>
              </w:rPr>
              <w:t>hijyenin</w:t>
            </w:r>
            <w:proofErr w:type="gramEnd"/>
            <w:r w:rsidRPr="00F039A4">
              <w:rPr>
                <w:rFonts w:ascii="Times New Roman" w:eastAsia="Times New Roman" w:hAnsi="Times New Roman"/>
                <w:sz w:val="24"/>
                <w:szCs w:val="24"/>
                <w:lang w:eastAsia="tr-TR"/>
              </w:rPr>
              <w:t xml:space="preserve"> tanımı</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5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8</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sz w:val="24"/>
                <w:szCs w:val="24"/>
              </w:rPr>
            </w:pPr>
            <w:r w:rsidRPr="00F039A4">
              <w:rPr>
                <w:sz w:val="24"/>
                <w:szCs w:val="24"/>
              </w:rPr>
              <w:t>Ara Sınav</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tcPr>
          <w:p w:rsidR="001E1CCB" w:rsidRPr="00F039A4" w:rsidRDefault="001E1CCB" w:rsidP="000B6393">
            <w:pPr>
              <w:rPr>
                <w:sz w:val="24"/>
                <w:szCs w:val="24"/>
              </w:rPr>
            </w:pP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9</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rFonts w:ascii="Verdana" w:hAnsi="Verdana"/>
                <w:sz w:val="24"/>
                <w:szCs w:val="24"/>
              </w:rPr>
            </w:pPr>
            <w:r w:rsidRPr="00F039A4">
              <w:rPr>
                <w:rFonts w:ascii="Times New Roman" w:eastAsia="Times New Roman" w:hAnsi="Times New Roman"/>
                <w:sz w:val="24"/>
                <w:szCs w:val="24"/>
                <w:lang w:eastAsia="tr-TR"/>
              </w:rPr>
              <w:t>Zehirleyicilerin salım ve yayılım modelleri</w:t>
            </w:r>
            <w:r>
              <w:rPr>
                <w:rFonts w:ascii="Times New Roman" w:eastAsia="Times New Roman" w:hAnsi="Times New Roman"/>
                <w:sz w:val="24"/>
                <w:szCs w:val="24"/>
                <w:lang w:eastAsia="tr-TR"/>
              </w:rPr>
              <w:t xml:space="preserve">, </w:t>
            </w:r>
            <w:r w:rsidRPr="00F039A4">
              <w:rPr>
                <w:rFonts w:ascii="Times New Roman" w:eastAsia="Times New Roman" w:hAnsi="Times New Roman"/>
                <w:sz w:val="24"/>
                <w:szCs w:val="24"/>
                <w:lang w:eastAsia="tr-TR"/>
              </w:rPr>
              <w:t>Zehirleyicilerin yayılımını etkileyen faktörler</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10</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sz w:val="24"/>
                <w:szCs w:val="24"/>
              </w:rPr>
            </w:pPr>
            <w:r w:rsidRPr="00F039A4">
              <w:rPr>
                <w:rFonts w:ascii="Times New Roman" w:eastAsia="Times New Roman" w:hAnsi="Times New Roman"/>
                <w:sz w:val="24"/>
                <w:szCs w:val="24"/>
                <w:lang w:eastAsia="tr-TR"/>
              </w:rPr>
              <w:t>Gazlar ve buharlar. Patlamalar ve yangınlar</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lastRenderedPageBreak/>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lastRenderedPageBreak/>
              <w:t>11</w:t>
            </w:r>
          </w:p>
        </w:tc>
        <w:tc>
          <w:tcPr>
            <w:tcW w:w="27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Pr="00F039A4" w:rsidRDefault="001E1CCB" w:rsidP="000B6393">
            <w:pPr>
              <w:rPr>
                <w:sz w:val="24"/>
                <w:szCs w:val="24"/>
              </w:rPr>
            </w:pPr>
            <w:r w:rsidRPr="00F039A4">
              <w:rPr>
                <w:rFonts w:ascii="Times New Roman" w:eastAsia="Times New Roman" w:hAnsi="Times New Roman"/>
                <w:sz w:val="24"/>
                <w:szCs w:val="24"/>
                <w:lang w:eastAsia="tr-TR"/>
              </w:rPr>
              <w:t>Patlama ve yangınları önleme konusunda yapılabilecek düzenlemeler</w:t>
            </w:r>
          </w:p>
        </w:tc>
        <w:tc>
          <w:tcPr>
            <w:tcW w:w="18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12</w:t>
            </w:r>
          </w:p>
        </w:tc>
        <w:tc>
          <w:tcPr>
            <w:tcW w:w="2757"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Pr>
                <w:rFonts w:ascii="Verdana" w:hAnsi="Verdana"/>
                <w:sz w:val="24"/>
                <w:szCs w:val="24"/>
              </w:rPr>
              <w:t>Parlama ve tutuşma üçgeni</w:t>
            </w:r>
          </w:p>
        </w:tc>
        <w:tc>
          <w:tcPr>
            <w:tcW w:w="1800"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13</w:t>
            </w:r>
          </w:p>
        </w:tc>
        <w:tc>
          <w:tcPr>
            <w:tcW w:w="2757"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Times New Roman" w:eastAsia="Times New Roman" w:hAnsi="Times New Roman"/>
                <w:sz w:val="24"/>
                <w:szCs w:val="24"/>
                <w:lang w:eastAsia="tr-TR"/>
              </w:rPr>
              <w:t>Parlama sıcaklığı. Parlama karakteristiği gösteren sıvılar</w:t>
            </w:r>
          </w:p>
        </w:tc>
        <w:tc>
          <w:tcPr>
            <w:tcW w:w="1800"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r w:rsidR="001E1CCB" w:rsidRPr="00F039A4" w:rsidTr="000B6393">
        <w:trPr>
          <w:trHeight w:val="375"/>
          <w:tblCellSpacing w:w="15" w:type="dxa"/>
          <w:jc w:val="center"/>
        </w:trPr>
        <w:tc>
          <w:tcPr>
            <w:tcW w:w="386"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sidRPr="00F039A4">
              <w:rPr>
                <w:rFonts w:ascii="Verdana" w:hAnsi="Verdana"/>
                <w:sz w:val="24"/>
                <w:szCs w:val="24"/>
              </w:rPr>
              <w:t>14</w:t>
            </w:r>
          </w:p>
        </w:tc>
        <w:tc>
          <w:tcPr>
            <w:tcW w:w="2757"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Pr="00F039A4" w:rsidRDefault="001E1CCB" w:rsidP="000B6393">
            <w:pPr>
              <w:spacing w:line="240" w:lineRule="atLeast"/>
              <w:rPr>
                <w:rFonts w:ascii="Verdana" w:hAnsi="Verdana"/>
                <w:sz w:val="24"/>
                <w:szCs w:val="24"/>
              </w:rPr>
            </w:pPr>
            <w:r>
              <w:rPr>
                <w:sz w:val="24"/>
                <w:szCs w:val="24"/>
              </w:rPr>
              <w:t xml:space="preserve">Yanıcı ve yakıcı maddelerin sınır </w:t>
            </w:r>
            <w:proofErr w:type="gramStart"/>
            <w:r>
              <w:rPr>
                <w:sz w:val="24"/>
                <w:szCs w:val="24"/>
              </w:rPr>
              <w:t>konsantrasyonları</w:t>
            </w:r>
            <w:proofErr w:type="gramEnd"/>
            <w:r>
              <w:rPr>
                <w:sz w:val="24"/>
                <w:szCs w:val="24"/>
              </w:rPr>
              <w:t>, Tutuşturucu kaynakları</w:t>
            </w:r>
          </w:p>
        </w:tc>
        <w:tc>
          <w:tcPr>
            <w:tcW w:w="1800" w:type="pct"/>
            <w:tcBorders>
              <w:top w:val="nil"/>
              <w:left w:val="nil"/>
              <w:bottom w:val="nil"/>
              <w:right w:val="nil"/>
            </w:tcBorders>
            <w:shd w:val="clear" w:color="auto" w:fill="FFFFFF"/>
            <w:tcMar>
              <w:top w:w="15" w:type="dxa"/>
              <w:left w:w="75" w:type="dxa"/>
              <w:bottom w:w="15" w:type="dxa"/>
              <w:right w:w="15" w:type="dxa"/>
            </w:tcMar>
            <w:vAlign w:val="center"/>
            <w:hideMark/>
          </w:tcPr>
          <w:p w:rsidR="001E1CCB" w:rsidRDefault="001E1CCB" w:rsidP="000B6393">
            <w:pPr>
              <w:jc w:val="both"/>
              <w:rPr>
                <w:sz w:val="24"/>
                <w:szCs w:val="24"/>
              </w:rPr>
            </w:pPr>
            <w:proofErr w:type="spellStart"/>
            <w:r>
              <w:rPr>
                <w:sz w:val="24"/>
                <w:szCs w:val="24"/>
              </w:rPr>
              <w:t>Danial</w:t>
            </w:r>
            <w:proofErr w:type="spellEnd"/>
            <w:r>
              <w:rPr>
                <w:sz w:val="24"/>
                <w:szCs w:val="24"/>
              </w:rPr>
              <w:t xml:space="preserve"> A. CROWL, M. T. </w:t>
            </w:r>
            <w:proofErr w:type="spellStart"/>
            <w:r>
              <w:rPr>
                <w:sz w:val="24"/>
                <w:szCs w:val="24"/>
              </w:rPr>
              <w:t>University</w:t>
            </w:r>
            <w:proofErr w:type="spellEnd"/>
            <w:proofErr w:type="gramStart"/>
            <w:r>
              <w:rPr>
                <w:sz w:val="24"/>
                <w:szCs w:val="24"/>
              </w:rPr>
              <w:t>.,</w:t>
            </w:r>
            <w:proofErr w:type="gramEnd"/>
          </w:p>
          <w:p w:rsidR="001E1CCB" w:rsidRDefault="001E1CCB" w:rsidP="000B6393">
            <w:pPr>
              <w:jc w:val="both"/>
              <w:rPr>
                <w:sz w:val="24"/>
                <w:szCs w:val="24"/>
              </w:rPr>
            </w:pPr>
            <w:r>
              <w:rPr>
                <w:sz w:val="24"/>
                <w:szCs w:val="24"/>
              </w:rPr>
              <w:t xml:space="preserve">Joseph F. LOUVAR, W. S. </w:t>
            </w:r>
            <w:proofErr w:type="spellStart"/>
            <w:r>
              <w:rPr>
                <w:sz w:val="24"/>
                <w:szCs w:val="24"/>
              </w:rPr>
              <w:t>University</w:t>
            </w:r>
            <w:proofErr w:type="spellEnd"/>
            <w:proofErr w:type="gramStart"/>
            <w:r>
              <w:rPr>
                <w:sz w:val="24"/>
                <w:szCs w:val="24"/>
              </w:rPr>
              <w:t>.,</w:t>
            </w:r>
            <w:proofErr w:type="gramEnd"/>
          </w:p>
          <w:p w:rsidR="001E1CCB" w:rsidRPr="00F039A4" w:rsidRDefault="001E1CCB" w:rsidP="000B6393">
            <w:pPr>
              <w:jc w:val="both"/>
              <w:rPr>
                <w:rFonts w:ascii="Verdana" w:hAnsi="Verdana"/>
                <w:sz w:val="24"/>
                <w:szCs w:val="24"/>
              </w:rPr>
            </w:pPr>
            <w:proofErr w:type="spellStart"/>
            <w:r>
              <w:rPr>
                <w:sz w:val="24"/>
                <w:szCs w:val="24"/>
              </w:rPr>
              <w:t>Chemical</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proofErr w:type="gramStart"/>
            <w:r>
              <w:rPr>
                <w:sz w:val="24"/>
                <w:szCs w:val="24"/>
              </w:rPr>
              <w:t>Safety</w:t>
            </w:r>
            <w:proofErr w:type="spellEnd"/>
            <w:r>
              <w:rPr>
                <w:sz w:val="24"/>
                <w:szCs w:val="24"/>
              </w:rPr>
              <w:t xml:space="preserve"> , Second</w:t>
            </w:r>
            <w:proofErr w:type="gramEnd"/>
            <w:r>
              <w:rPr>
                <w:sz w:val="24"/>
                <w:szCs w:val="24"/>
              </w:rPr>
              <w:t xml:space="preserve"> E. 2001</w:t>
            </w:r>
          </w:p>
        </w:tc>
      </w:tr>
    </w:tbl>
    <w:p w:rsidR="00063579" w:rsidRDefault="00063579"/>
    <w:sectPr w:rsidR="00063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89"/>
    <w:rsid w:val="00063579"/>
    <w:rsid w:val="00183989"/>
    <w:rsid w:val="001E1CCB"/>
    <w:rsid w:val="00A44636"/>
    <w:rsid w:val="00AE6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C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char1">
    <w:name w:val="normal__char1"/>
    <w:basedOn w:val="VarsaylanParagrafYazTipi"/>
    <w:rsid w:val="001E1CCB"/>
    <w:rPr>
      <w:rFonts w:ascii="Calibri" w:hAnsi="Calibri" w:hint="default"/>
      <w:b w:val="0"/>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C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char1">
    <w:name w:val="normal__char1"/>
    <w:basedOn w:val="VarsaylanParagrafYazTipi"/>
    <w:rsid w:val="001E1CCB"/>
    <w:rPr>
      <w:rFonts w:ascii="Calibri" w:hAnsi="Calibri" w:hint="default"/>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2</cp:revision>
  <dcterms:created xsi:type="dcterms:W3CDTF">2015-03-15T23:13:00Z</dcterms:created>
  <dcterms:modified xsi:type="dcterms:W3CDTF">2015-03-15T23:14:00Z</dcterms:modified>
</cp:coreProperties>
</file>